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7672" w14:textId="53069370" w:rsidR="00D256A1" w:rsidRPr="00D256A1" w:rsidRDefault="00D256A1" w:rsidP="00D256A1">
      <w:pPr>
        <w:rPr>
          <w:b/>
          <w:bCs/>
          <w:u w:val="single"/>
        </w:rPr>
      </w:pPr>
      <w:r w:rsidRPr="00D256A1">
        <w:rPr>
          <w:b/>
          <w:bCs/>
          <w:u w:val="single"/>
        </w:rPr>
        <w:t>One Problem per Consultation Policy</w:t>
      </w:r>
      <w:r w:rsidRPr="00D256A1">
        <w:rPr>
          <w:b/>
          <w:bCs/>
          <w:u w:val="single"/>
        </w:rPr>
        <w:t xml:space="preserve"> for Bootle Village Surgery 2026</w:t>
      </w:r>
    </w:p>
    <w:p w14:paraId="7D27D93D" w14:textId="77777777" w:rsidR="00D256A1" w:rsidRPr="00D256A1" w:rsidRDefault="00D256A1" w:rsidP="00D256A1">
      <w:pPr>
        <w:rPr>
          <w:b/>
          <w:bCs/>
          <w:u w:val="single"/>
        </w:rPr>
      </w:pPr>
      <w:r w:rsidRPr="00D256A1">
        <w:rPr>
          <w:b/>
          <w:bCs/>
          <w:u w:val="single"/>
        </w:rPr>
        <w:t>1. Purpose</w:t>
      </w:r>
    </w:p>
    <w:p w14:paraId="5121C05C" w14:textId="3E52FF30" w:rsidR="00D256A1" w:rsidRDefault="00D256A1" w:rsidP="00D256A1">
      <w:r>
        <w:t>This policy supports safe, effective, and person</w:t>
      </w:r>
      <w:r>
        <w:rPr>
          <w:rFonts w:ascii="Cambria Math" w:hAnsi="Cambria Math" w:cs="Cambria Math"/>
        </w:rPr>
        <w:t>‑</w:t>
      </w:r>
      <w:r>
        <w:t>centred care by ensuring that each consultation focuses on a single clinical problem. It helps clinicians provide thorough assessment, maintain appointment schedules, and ensure equitable access for all patients.</w:t>
      </w:r>
    </w:p>
    <w:p w14:paraId="16DD7027" w14:textId="77777777" w:rsidR="00D256A1" w:rsidRPr="00D256A1" w:rsidRDefault="00D256A1" w:rsidP="00D256A1">
      <w:pPr>
        <w:rPr>
          <w:b/>
          <w:bCs/>
          <w:u w:val="single"/>
        </w:rPr>
      </w:pPr>
      <w:r w:rsidRPr="00D256A1">
        <w:rPr>
          <w:b/>
          <w:bCs/>
          <w:u w:val="single"/>
        </w:rPr>
        <w:t>2. Scope</w:t>
      </w:r>
    </w:p>
    <w:p w14:paraId="313C18AD" w14:textId="1114A391" w:rsidR="00D256A1" w:rsidRDefault="00D256A1" w:rsidP="00D256A1">
      <w:r>
        <w:t>This policy applies to all routine GP and nurse practitioner appointments, whether face</w:t>
      </w:r>
      <w:r>
        <w:rPr>
          <w:rFonts w:ascii="Cambria Math" w:hAnsi="Cambria Math" w:cs="Cambria Math"/>
        </w:rPr>
        <w:t>‑</w:t>
      </w:r>
      <w:r>
        <w:t>to</w:t>
      </w:r>
      <w:r>
        <w:rPr>
          <w:rFonts w:ascii="Cambria Math" w:hAnsi="Cambria Math" w:cs="Cambria Math"/>
        </w:rPr>
        <w:t>‑</w:t>
      </w:r>
      <w:r>
        <w:t>face, telephone, or online. It does not apply to urgent or emergency presentations where multiple symptoms may need immediate assessment.</w:t>
      </w:r>
    </w:p>
    <w:p w14:paraId="698B66C8" w14:textId="77777777" w:rsidR="00D256A1" w:rsidRPr="00D256A1" w:rsidRDefault="00D256A1" w:rsidP="00D256A1">
      <w:pPr>
        <w:rPr>
          <w:b/>
          <w:bCs/>
          <w:u w:val="single"/>
        </w:rPr>
      </w:pPr>
      <w:r w:rsidRPr="00D256A1">
        <w:rPr>
          <w:b/>
          <w:bCs/>
          <w:u w:val="single"/>
        </w:rPr>
        <w:t>3. Policy Statement</w:t>
      </w:r>
    </w:p>
    <w:p w14:paraId="3C7501F1" w14:textId="5FD39DF5" w:rsidR="00D256A1" w:rsidRDefault="00D256A1" w:rsidP="00D256A1">
      <w:r>
        <w:t>Patients are asked to present one main problem per consultation so clinicians can provide safe, high</w:t>
      </w:r>
      <w:r>
        <w:rPr>
          <w:rFonts w:ascii="Cambria Math" w:hAnsi="Cambria Math" w:cs="Cambria Math"/>
        </w:rPr>
        <w:t>‑</w:t>
      </w:r>
      <w:r>
        <w:t>quality care.</w:t>
      </w:r>
    </w:p>
    <w:p w14:paraId="56C32DAD" w14:textId="545FA741" w:rsidR="00D256A1" w:rsidRDefault="00D256A1" w:rsidP="00D256A1">
      <w:r>
        <w:t>If a patient raises additional concerns, the clinician will:</w:t>
      </w:r>
    </w:p>
    <w:p w14:paraId="03F5F62A" w14:textId="74A04DFD" w:rsidR="00D256A1" w:rsidRDefault="00D256A1" w:rsidP="00D256A1">
      <w:r>
        <w:t>Prioritise issues based on clinical urgency.</w:t>
      </w:r>
    </w:p>
    <w:p w14:paraId="0117979C" w14:textId="44DCD9E5" w:rsidR="00D256A1" w:rsidRDefault="00D256A1" w:rsidP="00D256A1">
      <w:r>
        <w:t>Address the most urgent or significant problem first.</w:t>
      </w:r>
    </w:p>
    <w:p w14:paraId="3F9F6811" w14:textId="67A0111D" w:rsidR="00D256A1" w:rsidRDefault="00D256A1" w:rsidP="00D256A1">
      <w:r>
        <w:t>Offer a follow</w:t>
      </w:r>
      <w:r>
        <w:rPr>
          <w:rFonts w:ascii="Cambria Math" w:hAnsi="Cambria Math" w:cs="Cambria Math"/>
        </w:rPr>
        <w:t>‑</w:t>
      </w:r>
      <w:r>
        <w:t>up appointment for non</w:t>
      </w:r>
      <w:r>
        <w:rPr>
          <w:rFonts w:ascii="Cambria Math" w:hAnsi="Cambria Math" w:cs="Cambria Math"/>
        </w:rPr>
        <w:t>‑</w:t>
      </w:r>
      <w:r>
        <w:t>urgent issues.</w:t>
      </w:r>
    </w:p>
    <w:p w14:paraId="742320F2" w14:textId="02BD6719" w:rsidR="00D256A1" w:rsidRDefault="00D256A1" w:rsidP="00D256A1">
      <w:r>
        <w:t>Clinicians may use their professional judgement to address more than one issue when it is safe and appropriate to do so (e.g., when symptoms are linked or when a safeguarding concern is identified).</w:t>
      </w:r>
    </w:p>
    <w:p w14:paraId="02B3E266" w14:textId="77777777" w:rsidR="00D256A1" w:rsidRPr="00D256A1" w:rsidRDefault="00D256A1" w:rsidP="00D256A1">
      <w:pPr>
        <w:rPr>
          <w:b/>
          <w:bCs/>
        </w:rPr>
      </w:pPr>
      <w:r w:rsidRPr="00D256A1">
        <w:rPr>
          <w:b/>
          <w:bCs/>
        </w:rPr>
        <w:t>4. Rationale</w:t>
      </w:r>
    </w:p>
    <w:p w14:paraId="248B4AF3" w14:textId="3728CA3A" w:rsidR="00D256A1" w:rsidRDefault="00D256A1" w:rsidP="00D256A1">
      <w:r>
        <w:t>Ensures each problem receives adequate time for assessment, documentation, and safety</w:t>
      </w:r>
      <w:r>
        <w:rPr>
          <w:rFonts w:ascii="Cambria Math" w:hAnsi="Cambria Math" w:cs="Cambria Math"/>
        </w:rPr>
        <w:t>‑</w:t>
      </w:r>
      <w:r>
        <w:t>netting.</w:t>
      </w:r>
    </w:p>
    <w:p w14:paraId="03B8BC01" w14:textId="32E2E9FE" w:rsidR="00D256A1" w:rsidRDefault="00D256A1" w:rsidP="00D256A1">
      <w:r>
        <w:t>Reduces the risk of missed diagnoses or incomplete management.</w:t>
      </w:r>
    </w:p>
    <w:p w14:paraId="69F999DF" w14:textId="4637745D" w:rsidR="00D256A1" w:rsidRDefault="00D256A1" w:rsidP="00D256A1">
      <w:r>
        <w:t>Supports timely running of clinics and fair access for all patients.</w:t>
      </w:r>
    </w:p>
    <w:p w14:paraId="7C5E2237" w14:textId="5877EB60" w:rsidR="00D256A1" w:rsidRDefault="00D256A1" w:rsidP="00D256A1">
      <w:r>
        <w:t>Aligns with CQC expectations for safe, effective, and responsive care.</w:t>
      </w:r>
    </w:p>
    <w:p w14:paraId="425397CF" w14:textId="77777777" w:rsidR="00D256A1" w:rsidRPr="00D256A1" w:rsidRDefault="00D256A1" w:rsidP="00D256A1">
      <w:pPr>
        <w:rPr>
          <w:b/>
          <w:bCs/>
          <w:u w:val="single"/>
        </w:rPr>
      </w:pPr>
      <w:r w:rsidRPr="00D256A1">
        <w:rPr>
          <w:b/>
          <w:bCs/>
          <w:u w:val="single"/>
        </w:rPr>
        <w:t>5. Exceptions</w:t>
      </w:r>
    </w:p>
    <w:p w14:paraId="6F886B10" w14:textId="0B8DA8AE" w:rsidR="00D256A1" w:rsidRDefault="00D256A1" w:rsidP="00D256A1">
      <w:r>
        <w:t>The “one problem” approach may not apply when:</w:t>
      </w:r>
    </w:p>
    <w:p w14:paraId="53A2E1B4" w14:textId="548CD6C7" w:rsidR="00D256A1" w:rsidRDefault="00D256A1" w:rsidP="00D256A1">
      <w:r>
        <w:t>The patient presents with symptoms that may be related to the same underlying condition.</w:t>
      </w:r>
    </w:p>
    <w:p w14:paraId="2DB943C5" w14:textId="3A1879A5" w:rsidR="00D256A1" w:rsidRDefault="00D256A1" w:rsidP="00D256A1">
      <w:r>
        <w:t>There is a safeguarding concern.</w:t>
      </w:r>
    </w:p>
    <w:p w14:paraId="694BD635" w14:textId="57FF7140" w:rsidR="00D256A1" w:rsidRDefault="00D256A1" w:rsidP="00D256A1">
      <w:r>
        <w:t>The patient has a disability, communication difficulty, or complex health needs requiring reasonable adjustments.</w:t>
      </w:r>
    </w:p>
    <w:p w14:paraId="1D659BC1" w14:textId="77777777" w:rsidR="00D256A1" w:rsidRDefault="00D256A1" w:rsidP="00D256A1">
      <w:r>
        <w:t>The clinician identifies a risk that requires immediate attention.</w:t>
      </w:r>
    </w:p>
    <w:p w14:paraId="5E14EF30" w14:textId="77777777" w:rsidR="00D256A1" w:rsidRDefault="00D256A1" w:rsidP="00D256A1"/>
    <w:p w14:paraId="6428E77E" w14:textId="77777777" w:rsidR="00D256A1" w:rsidRPr="00D256A1" w:rsidRDefault="00D256A1" w:rsidP="00D256A1">
      <w:pPr>
        <w:rPr>
          <w:b/>
          <w:bCs/>
          <w:u w:val="single"/>
        </w:rPr>
      </w:pPr>
      <w:r w:rsidRPr="00D256A1">
        <w:rPr>
          <w:b/>
          <w:bCs/>
          <w:u w:val="single"/>
        </w:rPr>
        <w:t>6. Patient Communication</w:t>
      </w:r>
    </w:p>
    <w:p w14:paraId="5BD35E2C" w14:textId="7DA89AEF" w:rsidR="00D256A1" w:rsidRDefault="00D256A1" w:rsidP="00D256A1">
      <w:r>
        <w:t>The surgery will:</w:t>
      </w:r>
    </w:p>
    <w:p w14:paraId="1AC7D20D" w14:textId="0D24F099" w:rsidR="00D256A1" w:rsidRDefault="00D256A1" w:rsidP="00D256A1">
      <w:proofErr w:type="spellStart"/>
      <w:r>
        <w:t>Inform</w:t>
      </w:r>
      <w:proofErr w:type="spellEnd"/>
      <w:r>
        <w:t xml:space="preserve"> patients of this policy through the website, waiting room posters, and reception staff.</w:t>
      </w:r>
    </w:p>
    <w:p w14:paraId="5A45C02D" w14:textId="5D2ED135" w:rsidR="00D256A1" w:rsidRDefault="00D256A1" w:rsidP="00D256A1">
      <w:r>
        <w:t>Explain the purpose of the policy in a supportive, non</w:t>
      </w:r>
      <w:r>
        <w:rPr>
          <w:rFonts w:ascii="Cambria Math" w:hAnsi="Cambria Math" w:cs="Cambria Math"/>
        </w:rPr>
        <w:t>‑</w:t>
      </w:r>
      <w:r>
        <w:t>restrictive manner.</w:t>
      </w:r>
    </w:p>
    <w:p w14:paraId="7B9BE035" w14:textId="681CBDDC" w:rsidR="00D256A1" w:rsidRDefault="00D256A1" w:rsidP="00D256A1">
      <w:r>
        <w:t>Encourage patients to book double appointments when appropriate (subject to availability and clinical need).</w:t>
      </w:r>
    </w:p>
    <w:p w14:paraId="25F543D2" w14:textId="77777777" w:rsidR="00D256A1" w:rsidRPr="00D256A1" w:rsidRDefault="00D256A1" w:rsidP="00D256A1">
      <w:pPr>
        <w:rPr>
          <w:b/>
          <w:bCs/>
          <w:u w:val="single"/>
        </w:rPr>
      </w:pPr>
      <w:r w:rsidRPr="00D256A1">
        <w:rPr>
          <w:b/>
          <w:bCs/>
          <w:u w:val="single"/>
        </w:rPr>
        <w:t>7. Responsibilities</w:t>
      </w:r>
    </w:p>
    <w:p w14:paraId="69D37A81" w14:textId="31AC986F" w:rsidR="00D256A1" w:rsidRDefault="00D256A1" w:rsidP="00D256A1">
      <w:r>
        <w:t>Clinicians: Apply the policy with professional judgement, prioritise safety, and document decisions clearly.</w:t>
      </w:r>
    </w:p>
    <w:p w14:paraId="7F751542" w14:textId="4560A94C" w:rsidR="00D256A1" w:rsidRDefault="00D256A1" w:rsidP="00D256A1">
      <w:r>
        <w:t>Reception and care navigation staff: Support patients in booking appropriate appointments and signpost to suitable services.</w:t>
      </w:r>
    </w:p>
    <w:p w14:paraId="086B7349" w14:textId="284BB3AF" w:rsidR="00D256A1" w:rsidRDefault="00D256A1" w:rsidP="00D256A1">
      <w:r>
        <w:t>Practice management: Ensure staff training, monitor feedback, and review the policy annually.</w:t>
      </w:r>
    </w:p>
    <w:p w14:paraId="1D327ACF" w14:textId="77777777" w:rsidR="00D256A1" w:rsidRPr="00D256A1" w:rsidRDefault="00D256A1" w:rsidP="00D256A1">
      <w:pPr>
        <w:rPr>
          <w:b/>
          <w:bCs/>
          <w:u w:val="single"/>
        </w:rPr>
      </w:pPr>
      <w:r w:rsidRPr="00D256A1">
        <w:rPr>
          <w:b/>
          <w:bCs/>
          <w:u w:val="single"/>
        </w:rPr>
        <w:t>8. Monitoring and Review</w:t>
      </w:r>
    </w:p>
    <w:p w14:paraId="27DA8D8A" w14:textId="349E0F06" w:rsidR="00A77E3E" w:rsidRDefault="00D256A1" w:rsidP="00D256A1">
      <w:r>
        <w:t>The practice will review this policy annually or sooner if guidance changes. Patient feedback, complaints, and clinical incidents related to appointment capacity or consultation safety will be considered as part of the review.</w:t>
      </w:r>
    </w:p>
    <w:sectPr w:rsidR="00A77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A1"/>
    <w:rsid w:val="000F21AD"/>
    <w:rsid w:val="00A405F0"/>
    <w:rsid w:val="00A77E3E"/>
    <w:rsid w:val="00D256A1"/>
    <w:rsid w:val="00FC3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19BC"/>
  <w15:chartTrackingRefBased/>
  <w15:docId w15:val="{BFAE56EA-93C5-43CE-8FDB-240376C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6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256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256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56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256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25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56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56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56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256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25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6A1"/>
    <w:rPr>
      <w:rFonts w:eastAsiaTheme="majorEastAsia" w:cstheme="majorBidi"/>
      <w:color w:val="272727" w:themeColor="text1" w:themeTint="D8"/>
    </w:rPr>
  </w:style>
  <w:style w:type="paragraph" w:styleId="Title">
    <w:name w:val="Title"/>
    <w:basedOn w:val="Normal"/>
    <w:next w:val="Normal"/>
    <w:link w:val="TitleChar"/>
    <w:uiPriority w:val="10"/>
    <w:qFormat/>
    <w:rsid w:val="00D25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6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6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56A1"/>
    <w:rPr>
      <w:i/>
      <w:iCs/>
      <w:color w:val="404040" w:themeColor="text1" w:themeTint="BF"/>
    </w:rPr>
  </w:style>
  <w:style w:type="paragraph" w:styleId="ListParagraph">
    <w:name w:val="List Paragraph"/>
    <w:basedOn w:val="Normal"/>
    <w:uiPriority w:val="34"/>
    <w:qFormat/>
    <w:rsid w:val="00D256A1"/>
    <w:pPr>
      <w:ind w:left="720"/>
      <w:contextualSpacing/>
    </w:pPr>
  </w:style>
  <w:style w:type="character" w:styleId="IntenseEmphasis">
    <w:name w:val="Intense Emphasis"/>
    <w:basedOn w:val="DefaultParagraphFont"/>
    <w:uiPriority w:val="21"/>
    <w:qFormat/>
    <w:rsid w:val="00D256A1"/>
    <w:rPr>
      <w:i/>
      <w:iCs/>
      <w:color w:val="365F91" w:themeColor="accent1" w:themeShade="BF"/>
    </w:rPr>
  </w:style>
  <w:style w:type="paragraph" w:styleId="IntenseQuote">
    <w:name w:val="Intense Quote"/>
    <w:basedOn w:val="Normal"/>
    <w:next w:val="Normal"/>
    <w:link w:val="IntenseQuoteChar"/>
    <w:uiPriority w:val="30"/>
    <w:qFormat/>
    <w:rsid w:val="00D256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56A1"/>
    <w:rPr>
      <w:i/>
      <w:iCs/>
      <w:color w:val="365F91" w:themeColor="accent1" w:themeShade="BF"/>
    </w:rPr>
  </w:style>
  <w:style w:type="character" w:styleId="IntenseReference">
    <w:name w:val="Intense Reference"/>
    <w:basedOn w:val="DefaultParagraphFont"/>
    <w:uiPriority w:val="32"/>
    <w:qFormat/>
    <w:rsid w:val="00D256A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Nikki (NHS CHESHIRE AND MERSEYSIDE ICB - 01T)</dc:creator>
  <cp:keywords/>
  <dc:description/>
  <cp:lastModifiedBy>REID, Nikki (NHS CHESHIRE AND MERSEYSIDE ICB - 01T)</cp:lastModifiedBy>
  <cp:revision>1</cp:revision>
  <cp:lastPrinted>2026-03-03T11:10:00Z</cp:lastPrinted>
  <dcterms:created xsi:type="dcterms:W3CDTF">2026-03-03T11:08:00Z</dcterms:created>
  <dcterms:modified xsi:type="dcterms:W3CDTF">2026-03-03T11:11:00Z</dcterms:modified>
</cp:coreProperties>
</file>